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D2" w:rsidRDefault="008618D2" w:rsidP="008618D2">
      <w:pPr>
        <w:jc w:val="center"/>
        <w:rPr>
          <w:b/>
        </w:rPr>
      </w:pPr>
      <w:bookmarkStart w:id="0" w:name="_GoBack"/>
      <w:bookmarkEnd w:id="0"/>
    </w:p>
    <w:p w:rsidR="008618D2" w:rsidRDefault="008618D2" w:rsidP="008618D2">
      <w:pPr>
        <w:pBdr>
          <w:bottom w:val="single" w:sz="12" w:space="1" w:color="auto"/>
        </w:pBdr>
        <w:jc w:val="center"/>
        <w:rPr>
          <w:b/>
        </w:rPr>
      </w:pPr>
      <w:r>
        <w:rPr>
          <w:b/>
        </w:rPr>
        <w:t>201</w:t>
      </w:r>
      <w:r w:rsidR="009539B2">
        <w:rPr>
          <w:b/>
        </w:rPr>
        <w:t>6</w:t>
      </w:r>
      <w:r>
        <w:rPr>
          <w:b/>
        </w:rPr>
        <w:t xml:space="preserve"> </w:t>
      </w:r>
      <w:r w:rsidR="00005316" w:rsidRPr="005F210B">
        <w:rPr>
          <w:b/>
        </w:rPr>
        <w:t>Contributor Guidelines</w:t>
      </w:r>
    </w:p>
    <w:p w:rsidR="008618D2" w:rsidRDefault="00CA2AA2" w:rsidP="00CA2AA2">
      <w:pPr>
        <w:jc w:val="center"/>
      </w:pPr>
      <w:r>
        <w:rPr>
          <w:noProof/>
          <w:lang w:eastAsia="en-CA"/>
        </w:rPr>
        <w:drawing>
          <wp:inline distT="0" distB="0" distL="0" distR="0">
            <wp:extent cx="2438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isBeth-logo-black[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914400"/>
                    </a:xfrm>
                    <a:prstGeom prst="rect">
                      <a:avLst/>
                    </a:prstGeom>
                  </pic:spPr>
                </pic:pic>
              </a:graphicData>
            </a:graphic>
          </wp:inline>
        </w:drawing>
      </w:r>
    </w:p>
    <w:p w:rsidR="008618D2" w:rsidRDefault="002711FC" w:rsidP="00005316">
      <w:r>
        <w:t>_____________________________________________________________________________________</w:t>
      </w:r>
    </w:p>
    <w:p w:rsidR="008533E8" w:rsidRDefault="008533E8" w:rsidP="008533E8">
      <w:r>
        <w:t xml:space="preserve">LiisBeth welcomes queries from </w:t>
      </w:r>
      <w:r w:rsidR="00713701">
        <w:t xml:space="preserve">women </w:t>
      </w:r>
      <w:r w:rsidR="00A67BCA">
        <w:t>and those who identify as women, from all</w:t>
      </w:r>
      <w:r>
        <w:t xml:space="preserve"> backgrounds and levels of experience.</w:t>
      </w:r>
    </w:p>
    <w:p w:rsidR="00C90359" w:rsidRDefault="008533E8" w:rsidP="008533E8">
      <w:r>
        <w:t>We look for we</w:t>
      </w:r>
      <w:r w:rsidR="00C90359">
        <w:t xml:space="preserve">ll-written, edgy, </w:t>
      </w:r>
      <w:r w:rsidR="00307479">
        <w:t xml:space="preserve">positive, </w:t>
      </w:r>
      <w:r w:rsidR="00C90359">
        <w:t xml:space="preserve">well-informed </w:t>
      </w:r>
      <w:r w:rsidR="00CA45D8">
        <w:t>articles</w:t>
      </w:r>
      <w:r>
        <w:t xml:space="preserve"> that </w:t>
      </w:r>
      <w:r w:rsidR="000507BE">
        <w:t xml:space="preserve">offers </w:t>
      </w:r>
      <w:r w:rsidR="00CA45D8">
        <w:t xml:space="preserve">readers’ </w:t>
      </w:r>
      <w:r w:rsidR="000507BE">
        <w:t>a feminist’s</w:t>
      </w:r>
      <w:r>
        <w:t xml:space="preserve"> perspective on </w:t>
      </w:r>
      <w:r w:rsidR="00CA45D8">
        <w:t xml:space="preserve">entrepreneurship. </w:t>
      </w:r>
    </w:p>
    <w:p w:rsidR="00CA45D8" w:rsidRDefault="00CA45D8" w:rsidP="008533E8">
      <w:r>
        <w:t>Our readers span the gender and age spectrum, but are primarily women entrepreneurs who either self -identify as feminist or are curious about the issues</w:t>
      </w:r>
      <w:r w:rsidR="00F71C2C">
        <w:t>. They are well-educated</w:t>
      </w:r>
      <w:r w:rsidR="009539B2">
        <w:t xml:space="preserve"> (majority with post secondary degrees)</w:t>
      </w:r>
      <w:r w:rsidR="00F71C2C">
        <w:t xml:space="preserve"> and informed, </w:t>
      </w:r>
      <w:r>
        <w:t xml:space="preserve">are </w:t>
      </w:r>
      <w:r w:rsidR="00F71C2C">
        <w:t xml:space="preserve">concerned about gender issues, rising inequality, social justice, and the environment, </w:t>
      </w:r>
      <w:r>
        <w:t xml:space="preserve">and </w:t>
      </w:r>
      <w:r w:rsidR="00F71C2C">
        <w:t xml:space="preserve">are </w:t>
      </w:r>
      <w:r>
        <w:t xml:space="preserve">interested in making a difference in the world. </w:t>
      </w:r>
    </w:p>
    <w:p w:rsidR="00CA45D8" w:rsidRDefault="00CA45D8" w:rsidP="008533E8">
      <w:r w:rsidRPr="00CA45D8">
        <w:t xml:space="preserve">We enjoy quality writing that is highly readable, </w:t>
      </w:r>
      <w:r w:rsidR="00F71C2C">
        <w:t xml:space="preserve">positive, </w:t>
      </w:r>
      <w:r w:rsidRPr="00CA45D8">
        <w:t>well researched, and creative. We encourage writers to tackle big</w:t>
      </w:r>
      <w:r w:rsidR="00F71C2C">
        <w:t xml:space="preserve"> and even controversial</w:t>
      </w:r>
      <w:r w:rsidRPr="00CA45D8">
        <w:t xml:space="preserve"> ideas, but </w:t>
      </w:r>
      <w:r w:rsidR="00F71C2C">
        <w:t xml:space="preserve">do so </w:t>
      </w:r>
      <w:r w:rsidRPr="00CA45D8">
        <w:t>with wit, style, balance, and respect.  We are not an “angry” platform. Profanity -- in context and if required -- is acceptable.</w:t>
      </w:r>
    </w:p>
    <w:p w:rsidR="00CA45D8" w:rsidRDefault="00CA45D8" w:rsidP="008533E8"/>
    <w:p w:rsidR="009539B2" w:rsidRPr="00285230" w:rsidRDefault="009539B2" w:rsidP="008533E8">
      <w:pPr>
        <w:rPr>
          <w:b/>
        </w:rPr>
      </w:pPr>
      <w:r w:rsidRPr="00285230">
        <w:rPr>
          <w:b/>
        </w:rPr>
        <w:t>EDITORIAL FRAMEWORK</w:t>
      </w:r>
      <w:r w:rsidR="00285230">
        <w:rPr>
          <w:b/>
        </w:rPr>
        <w:t xml:space="preserve"> (May change from time to time)</w:t>
      </w:r>
    </w:p>
    <w:tbl>
      <w:tblPr>
        <w:tblStyle w:val="TableGrid"/>
        <w:tblW w:w="9923" w:type="dxa"/>
        <w:tblInd w:w="-5" w:type="dxa"/>
        <w:tblLook w:val="04A0" w:firstRow="1" w:lastRow="0" w:firstColumn="1" w:lastColumn="0" w:noHBand="0" w:noVBand="1"/>
      </w:tblPr>
      <w:tblGrid>
        <w:gridCol w:w="1373"/>
        <w:gridCol w:w="2455"/>
        <w:gridCol w:w="6095"/>
      </w:tblGrid>
      <w:tr w:rsidR="009539B2" w:rsidRPr="009539B2" w:rsidTr="009539B2">
        <w:tc>
          <w:tcPr>
            <w:tcW w:w="1373" w:type="dxa"/>
            <w:shd w:val="clear" w:color="auto" w:fill="000000"/>
          </w:tcPr>
          <w:p w:rsidR="009539B2" w:rsidRPr="009539B2" w:rsidRDefault="009539B2" w:rsidP="009539B2">
            <w:pPr>
              <w:rPr>
                <w:rFonts w:ascii="Calibri" w:eastAsia="Calibri" w:hAnsi="Calibri" w:cs="Times New Roman"/>
              </w:rPr>
            </w:pPr>
            <w:r>
              <w:rPr>
                <w:rFonts w:ascii="Calibri" w:eastAsia="Calibri" w:hAnsi="Calibri" w:cs="Times New Roman"/>
              </w:rPr>
              <w:t>SECTION</w:t>
            </w:r>
          </w:p>
        </w:tc>
        <w:tc>
          <w:tcPr>
            <w:tcW w:w="2455" w:type="dxa"/>
            <w:shd w:val="clear" w:color="auto" w:fill="000000"/>
          </w:tcPr>
          <w:p w:rsidR="009539B2" w:rsidRPr="009539B2" w:rsidRDefault="009539B2" w:rsidP="009539B2">
            <w:pPr>
              <w:rPr>
                <w:rFonts w:ascii="Calibri" w:eastAsia="Calibri" w:hAnsi="Calibri" w:cs="Times New Roman"/>
              </w:rPr>
            </w:pPr>
            <w:r w:rsidRPr="009539B2">
              <w:rPr>
                <w:rFonts w:ascii="Calibri" w:eastAsia="Calibri" w:hAnsi="Calibri" w:cs="Times New Roman"/>
              </w:rPr>
              <w:t>APPROACH</w:t>
            </w:r>
          </w:p>
        </w:tc>
        <w:tc>
          <w:tcPr>
            <w:tcW w:w="6095" w:type="dxa"/>
            <w:shd w:val="clear" w:color="auto" w:fill="000000"/>
          </w:tcPr>
          <w:p w:rsidR="009539B2" w:rsidRPr="009539B2" w:rsidRDefault="009539B2" w:rsidP="009539B2">
            <w:pPr>
              <w:rPr>
                <w:rFonts w:ascii="Calibri" w:eastAsia="Calibri" w:hAnsi="Calibri" w:cs="Times New Roman"/>
              </w:rPr>
            </w:pPr>
            <w:r w:rsidRPr="009539B2">
              <w:rPr>
                <w:rFonts w:ascii="Calibri" w:eastAsia="Calibri" w:hAnsi="Calibri" w:cs="Times New Roman"/>
              </w:rPr>
              <w:t>DESCRIPTION</w:t>
            </w:r>
          </w:p>
        </w:tc>
      </w:tr>
      <w:tr w:rsidR="009539B2" w:rsidRPr="009539B2" w:rsidTr="009539B2">
        <w:tc>
          <w:tcPr>
            <w:tcW w:w="1373" w:type="dxa"/>
          </w:tcPr>
          <w:p w:rsidR="009539B2" w:rsidRPr="009539B2" w:rsidRDefault="00DD612C" w:rsidP="009539B2">
            <w:pPr>
              <w:rPr>
                <w:rFonts w:ascii="Calibri" w:eastAsia="Calibri" w:hAnsi="Calibri" w:cs="Times New Roman"/>
                <w:b/>
                <w:sz w:val="18"/>
                <w:szCs w:val="18"/>
              </w:rPr>
            </w:pPr>
            <w:r>
              <w:rPr>
                <w:rFonts w:ascii="Calibri" w:eastAsia="Calibri" w:hAnsi="Calibri" w:cs="Times New Roman"/>
                <w:b/>
                <w:sz w:val="18"/>
                <w:szCs w:val="18"/>
              </w:rPr>
              <w:t>OUR VOICES</w:t>
            </w:r>
          </w:p>
        </w:tc>
        <w:tc>
          <w:tcPr>
            <w:tcW w:w="2455" w:type="dxa"/>
          </w:tcPr>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“As Told To” </w:t>
            </w:r>
          </w:p>
          <w:p w:rsidR="009539B2" w:rsidRPr="009539B2" w:rsidRDefault="009539B2" w:rsidP="009539B2">
            <w:pPr>
              <w:rPr>
                <w:rFonts w:ascii="Calibri" w:eastAsia="Calibri" w:hAnsi="Calibri" w:cs="Times New Roman"/>
                <w:sz w:val="18"/>
                <w:szCs w:val="18"/>
              </w:rPr>
            </w:pPr>
          </w:p>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Personal Essays</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Opinion </w:t>
            </w:r>
          </w:p>
          <w:p w:rsidR="009539B2" w:rsidRPr="009539B2" w:rsidRDefault="009539B2" w:rsidP="009539B2">
            <w:pPr>
              <w:rPr>
                <w:rFonts w:ascii="Calibri" w:eastAsia="Calibri" w:hAnsi="Calibri" w:cs="Times New Roman"/>
                <w:sz w:val="18"/>
                <w:szCs w:val="18"/>
              </w:rPr>
            </w:pPr>
          </w:p>
        </w:tc>
        <w:tc>
          <w:tcPr>
            <w:tcW w:w="6095" w:type="dxa"/>
          </w:tcPr>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Stories </w:t>
            </w:r>
            <w:r w:rsidRPr="009539B2">
              <w:rPr>
                <w:rFonts w:ascii="Calibri" w:eastAsia="Calibri" w:hAnsi="Calibri" w:cs="Times New Roman"/>
                <w:b/>
                <w:sz w:val="18"/>
                <w:szCs w:val="18"/>
              </w:rPr>
              <w:t xml:space="preserve">about </w:t>
            </w:r>
            <w:r w:rsidRPr="009539B2">
              <w:rPr>
                <w:rFonts w:ascii="Calibri" w:eastAsia="Calibri" w:hAnsi="Calibri" w:cs="Times New Roman"/>
                <w:sz w:val="18"/>
                <w:szCs w:val="18"/>
              </w:rPr>
              <w:t xml:space="preserve">people, individual Feminist entrepreneurs, researchers, through leaders, their journey, their ideas, experiences, and viewpoints. </w:t>
            </w:r>
          </w:p>
          <w:p w:rsid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p>
        </w:tc>
      </w:tr>
      <w:tr w:rsidR="009539B2" w:rsidRPr="009539B2" w:rsidTr="009539B2">
        <w:tc>
          <w:tcPr>
            <w:tcW w:w="1373" w:type="dxa"/>
            <w:shd w:val="clear" w:color="auto" w:fill="000000"/>
          </w:tcPr>
          <w:p w:rsidR="009539B2" w:rsidRPr="009539B2" w:rsidRDefault="009539B2" w:rsidP="009539B2">
            <w:pPr>
              <w:rPr>
                <w:rFonts w:ascii="Calibri" w:eastAsia="Calibri" w:hAnsi="Calibri" w:cs="Times New Roman"/>
                <w:sz w:val="18"/>
                <w:szCs w:val="18"/>
              </w:rPr>
            </w:pPr>
          </w:p>
        </w:tc>
        <w:tc>
          <w:tcPr>
            <w:tcW w:w="2455" w:type="dxa"/>
            <w:shd w:val="clear" w:color="auto" w:fill="000000"/>
          </w:tcPr>
          <w:p w:rsidR="009539B2" w:rsidRPr="009539B2" w:rsidRDefault="009539B2" w:rsidP="009539B2">
            <w:pPr>
              <w:rPr>
                <w:rFonts w:ascii="Calibri" w:eastAsia="Calibri" w:hAnsi="Calibri" w:cs="Times New Roman"/>
                <w:sz w:val="18"/>
                <w:szCs w:val="18"/>
              </w:rPr>
            </w:pPr>
          </w:p>
        </w:tc>
        <w:tc>
          <w:tcPr>
            <w:tcW w:w="6095" w:type="dxa"/>
            <w:shd w:val="clear" w:color="auto" w:fill="000000"/>
          </w:tcPr>
          <w:p w:rsidR="009539B2" w:rsidRPr="009539B2" w:rsidRDefault="009539B2" w:rsidP="009539B2">
            <w:pPr>
              <w:rPr>
                <w:rFonts w:ascii="Calibri" w:eastAsia="Calibri" w:hAnsi="Calibri" w:cs="Times New Roman"/>
                <w:sz w:val="18"/>
                <w:szCs w:val="18"/>
              </w:rPr>
            </w:pPr>
          </w:p>
        </w:tc>
      </w:tr>
      <w:tr w:rsidR="009539B2" w:rsidRPr="009539B2" w:rsidTr="009539B2">
        <w:tc>
          <w:tcPr>
            <w:tcW w:w="1373" w:type="dxa"/>
          </w:tcPr>
          <w:p w:rsidR="009539B2" w:rsidRPr="009539B2" w:rsidRDefault="009539B2" w:rsidP="009539B2">
            <w:pPr>
              <w:rPr>
                <w:rFonts w:ascii="Calibri" w:eastAsia="Calibri" w:hAnsi="Calibri" w:cs="Times New Roman"/>
                <w:b/>
                <w:sz w:val="18"/>
                <w:szCs w:val="18"/>
              </w:rPr>
            </w:pPr>
            <w:r>
              <w:rPr>
                <w:rFonts w:ascii="Calibri" w:eastAsia="Calibri" w:hAnsi="Calibri" w:cs="Times New Roman"/>
                <w:b/>
                <w:sz w:val="18"/>
                <w:szCs w:val="18"/>
              </w:rPr>
              <w:t>SYSTEMS</w:t>
            </w:r>
          </w:p>
          <w:p w:rsidR="009539B2" w:rsidRPr="009539B2" w:rsidRDefault="009539B2" w:rsidP="009539B2">
            <w:pPr>
              <w:rPr>
                <w:rFonts w:ascii="Calibri" w:eastAsia="Calibri" w:hAnsi="Calibri" w:cs="Times New Roman"/>
                <w:sz w:val="18"/>
                <w:szCs w:val="18"/>
              </w:rPr>
            </w:pPr>
          </w:p>
        </w:tc>
        <w:tc>
          <w:tcPr>
            <w:tcW w:w="2455" w:type="dxa"/>
          </w:tcPr>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Investigative Reporting </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Research Reports/Insight Summaries </w:t>
            </w:r>
          </w:p>
          <w:p w:rsidR="009539B2" w:rsidRPr="009539B2" w:rsidRDefault="009539B2" w:rsidP="009539B2">
            <w:pPr>
              <w:rPr>
                <w:rFonts w:ascii="Calibri" w:eastAsia="Calibri" w:hAnsi="Calibri" w:cs="Times New Roman"/>
                <w:color w:val="5B9BD5"/>
                <w:sz w:val="18"/>
                <w:szCs w:val="18"/>
                <w14:textFill>
                  <w14:solidFill>
                    <w14:srgbClr w14:val="5B9BD5">
                      <w14:lumMod w14:val="75000"/>
                    </w14:srgbClr>
                  </w14:solidFill>
                </w14:textFill>
              </w:rPr>
            </w:pPr>
            <w:r w:rsidRPr="009539B2">
              <w:rPr>
                <w:rFonts w:ascii="Calibri" w:eastAsia="Calibri" w:hAnsi="Calibri" w:cs="Times New Roman"/>
                <w:sz w:val="18"/>
                <w:szCs w:val="18"/>
              </w:rPr>
              <w:t xml:space="preserve">Opinion </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Critical Reviews &amp; analysis </w:t>
            </w:r>
          </w:p>
        </w:tc>
        <w:tc>
          <w:tcPr>
            <w:tcW w:w="6095" w:type="dxa"/>
          </w:tcPr>
          <w:p w:rsidR="009539B2" w:rsidRDefault="009539B2" w:rsidP="009539B2">
            <w:pPr>
              <w:rPr>
                <w:rFonts w:ascii="Calibri" w:eastAsia="Calibri" w:hAnsi="Calibri" w:cs="Times New Roman"/>
                <w:sz w:val="18"/>
                <w:szCs w:val="18"/>
              </w:rPr>
            </w:pPr>
            <w:r>
              <w:rPr>
                <w:rFonts w:ascii="Calibri" w:eastAsia="Calibri" w:hAnsi="Calibri" w:cs="Times New Roman"/>
                <w:sz w:val="18"/>
                <w:szCs w:val="18"/>
              </w:rPr>
              <w:t>Well researched s</w:t>
            </w:r>
            <w:r w:rsidRPr="009539B2">
              <w:rPr>
                <w:rFonts w:ascii="Calibri" w:eastAsia="Calibri" w:hAnsi="Calibri" w:cs="Times New Roman"/>
                <w:sz w:val="18"/>
                <w:szCs w:val="18"/>
              </w:rPr>
              <w:t>tories about the “space”—and the systems that shape it. Economy, Politics, Culture, Education, Government, Feminist Thought Leadership</w:t>
            </w:r>
            <w:r>
              <w:rPr>
                <w:rFonts w:ascii="Calibri" w:eastAsia="Calibri" w:hAnsi="Calibri" w:cs="Times New Roman"/>
                <w:sz w:val="18"/>
                <w:szCs w:val="18"/>
              </w:rPr>
              <w:t xml:space="preserve">, interviews, </w:t>
            </w:r>
          </w:p>
          <w:p w:rsidR="009539B2" w:rsidRDefault="009539B2" w:rsidP="009539B2">
            <w:pPr>
              <w:rPr>
                <w:rFonts w:ascii="Calibri" w:eastAsia="Calibri" w:hAnsi="Calibri" w:cs="Times New Roman"/>
                <w:sz w:val="18"/>
                <w:szCs w:val="18"/>
              </w:rPr>
            </w:pPr>
          </w:p>
          <w:p w:rsidR="009539B2" w:rsidRPr="009539B2" w:rsidRDefault="009539B2" w:rsidP="00285230">
            <w:pPr>
              <w:rPr>
                <w:rFonts w:ascii="Calibri" w:eastAsia="Calibri" w:hAnsi="Calibri" w:cs="Times New Roman"/>
                <w:sz w:val="18"/>
                <w:szCs w:val="18"/>
              </w:rPr>
            </w:pPr>
          </w:p>
        </w:tc>
      </w:tr>
      <w:tr w:rsidR="009539B2" w:rsidRPr="009539B2" w:rsidTr="009539B2">
        <w:tc>
          <w:tcPr>
            <w:tcW w:w="1373" w:type="dxa"/>
          </w:tcPr>
          <w:p w:rsidR="009539B2" w:rsidRPr="009539B2" w:rsidRDefault="00DD612C" w:rsidP="009539B2">
            <w:pPr>
              <w:rPr>
                <w:rFonts w:ascii="Calibri" w:eastAsia="Calibri" w:hAnsi="Calibri" w:cs="Times New Roman"/>
                <w:b/>
                <w:sz w:val="18"/>
                <w:szCs w:val="18"/>
              </w:rPr>
            </w:pPr>
            <w:r>
              <w:rPr>
                <w:rFonts w:ascii="Calibri" w:eastAsia="Calibri" w:hAnsi="Calibri" w:cs="Times New Roman"/>
                <w:b/>
                <w:sz w:val="18"/>
                <w:szCs w:val="18"/>
              </w:rPr>
              <w:t>OUR BODIES</w:t>
            </w:r>
          </w:p>
        </w:tc>
        <w:tc>
          <w:tcPr>
            <w:tcW w:w="2455" w:type="dxa"/>
          </w:tcPr>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Opinion </w:t>
            </w:r>
          </w:p>
          <w:p w:rsidR="009539B2" w:rsidRPr="009539B2" w:rsidRDefault="009539B2" w:rsidP="009539B2">
            <w:pPr>
              <w:rPr>
                <w:rFonts w:ascii="Calibri" w:eastAsia="Calibri" w:hAnsi="Calibri" w:cs="Times New Roman"/>
                <w:color w:val="5B9BD5"/>
                <w:sz w:val="18"/>
                <w:szCs w:val="18"/>
                <w14:textFill>
                  <w14:solidFill>
                    <w14:srgbClr w14:val="5B9BD5">
                      <w14:lumMod w14:val="75000"/>
                    </w14:srgbClr>
                  </w14:solidFill>
                </w14:textFill>
              </w:rPr>
            </w:pPr>
            <w:r w:rsidRPr="009539B2">
              <w:rPr>
                <w:rFonts w:ascii="Calibri" w:eastAsia="Calibri" w:hAnsi="Calibri" w:cs="Times New Roman"/>
                <w:sz w:val="18"/>
                <w:szCs w:val="18"/>
              </w:rPr>
              <w:t xml:space="preserve">Personal Essay </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Investigative Reporting (P)</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p>
        </w:tc>
        <w:tc>
          <w:tcPr>
            <w:tcW w:w="6095" w:type="dxa"/>
          </w:tcPr>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Wellness, Health, Food, relatable to life of entrepreneur, </w:t>
            </w:r>
            <w:r w:rsidR="00285230">
              <w:rPr>
                <w:rFonts w:ascii="Calibri" w:eastAsia="Calibri" w:hAnsi="Calibri" w:cs="Times New Roman"/>
                <w:sz w:val="18"/>
                <w:szCs w:val="18"/>
              </w:rPr>
              <w:t>how to stay resilient, focused,</w:t>
            </w:r>
          </w:p>
          <w:p w:rsidR="00285230" w:rsidRDefault="00285230" w:rsidP="009539B2">
            <w:pPr>
              <w:rPr>
                <w:rFonts w:ascii="Calibri" w:eastAsia="Calibri" w:hAnsi="Calibri" w:cs="Times New Roman"/>
                <w:sz w:val="18"/>
                <w:szCs w:val="18"/>
              </w:rPr>
            </w:pPr>
          </w:p>
          <w:p w:rsidR="00285230" w:rsidRPr="009539B2" w:rsidRDefault="00285230" w:rsidP="009539B2">
            <w:pPr>
              <w:rPr>
                <w:rFonts w:ascii="Calibri" w:eastAsia="Calibri" w:hAnsi="Calibri" w:cs="Times New Roman"/>
                <w:sz w:val="18"/>
                <w:szCs w:val="18"/>
              </w:rPr>
            </w:pPr>
            <w:r>
              <w:rPr>
                <w:rFonts w:ascii="Calibri" w:eastAsia="Calibri" w:hAnsi="Calibri" w:cs="Times New Roman"/>
                <w:sz w:val="18"/>
                <w:szCs w:val="18"/>
              </w:rPr>
              <w:t>400-800 words</w:t>
            </w:r>
          </w:p>
        </w:tc>
      </w:tr>
      <w:tr w:rsidR="009539B2" w:rsidRPr="009539B2" w:rsidTr="009539B2">
        <w:tc>
          <w:tcPr>
            <w:tcW w:w="1373" w:type="dxa"/>
          </w:tcPr>
          <w:p w:rsidR="009539B2" w:rsidRPr="009539B2" w:rsidRDefault="009539B2" w:rsidP="009539B2">
            <w:pPr>
              <w:rPr>
                <w:rFonts w:ascii="Calibri" w:eastAsia="Calibri" w:hAnsi="Calibri" w:cs="Times New Roman"/>
                <w:b/>
                <w:sz w:val="18"/>
                <w:szCs w:val="18"/>
              </w:rPr>
            </w:pPr>
            <w:r w:rsidRPr="009539B2">
              <w:rPr>
                <w:rFonts w:ascii="Calibri" w:eastAsia="Calibri" w:hAnsi="Calibri" w:cs="Times New Roman"/>
                <w:b/>
                <w:sz w:val="18"/>
                <w:szCs w:val="18"/>
              </w:rPr>
              <w:t>REVIEWS</w:t>
            </w:r>
          </w:p>
        </w:tc>
        <w:tc>
          <w:tcPr>
            <w:tcW w:w="2455" w:type="dxa"/>
          </w:tcPr>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Review </w:t>
            </w:r>
            <w:r w:rsidRPr="009539B2">
              <w:rPr>
                <w:rFonts w:ascii="Calibri" w:eastAsia="Calibri" w:hAnsi="Calibri" w:cs="Times New Roman"/>
                <w:color w:val="5B9BD5"/>
                <w:sz w:val="18"/>
                <w:szCs w:val="18"/>
                <w14:textFill>
                  <w14:solidFill>
                    <w14:srgbClr w14:val="5B9BD5">
                      <w14:lumMod w14:val="75000"/>
                    </w14:srgbClr>
                  </w14:solidFill>
                </w14:textFill>
              </w:rPr>
              <w:t>(E, A)</w:t>
            </w:r>
          </w:p>
        </w:tc>
        <w:tc>
          <w:tcPr>
            <w:tcW w:w="6095" w:type="dxa"/>
          </w:tcPr>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Book;Film; Theatre; Concert; Podcasts all through lens of feminist entrepreneurship. </w:t>
            </w:r>
          </w:p>
          <w:p w:rsidR="00285230" w:rsidRDefault="00285230" w:rsidP="009539B2">
            <w:pPr>
              <w:rPr>
                <w:rFonts w:ascii="Calibri" w:eastAsia="Calibri" w:hAnsi="Calibri" w:cs="Times New Roman"/>
                <w:sz w:val="18"/>
                <w:szCs w:val="18"/>
              </w:rPr>
            </w:pPr>
            <w:r>
              <w:rPr>
                <w:rFonts w:ascii="Calibri" w:eastAsia="Calibri" w:hAnsi="Calibri" w:cs="Times New Roman"/>
                <w:sz w:val="18"/>
                <w:szCs w:val="18"/>
              </w:rPr>
              <w:lastRenderedPageBreak/>
              <w:t>400-800 words</w:t>
            </w:r>
          </w:p>
          <w:p w:rsidR="00285230" w:rsidRPr="009539B2" w:rsidRDefault="00285230" w:rsidP="009539B2">
            <w:pPr>
              <w:rPr>
                <w:rFonts w:ascii="Calibri" w:eastAsia="Calibri" w:hAnsi="Calibri" w:cs="Times New Roman"/>
                <w:sz w:val="18"/>
                <w:szCs w:val="18"/>
              </w:rPr>
            </w:pPr>
          </w:p>
        </w:tc>
      </w:tr>
      <w:tr w:rsidR="009539B2" w:rsidRPr="009539B2" w:rsidTr="009539B2">
        <w:tc>
          <w:tcPr>
            <w:tcW w:w="1373" w:type="dxa"/>
          </w:tcPr>
          <w:p w:rsidR="009539B2" w:rsidRPr="009539B2" w:rsidRDefault="009539B2" w:rsidP="009539B2">
            <w:pPr>
              <w:rPr>
                <w:rFonts w:ascii="Calibri" w:eastAsia="Calibri" w:hAnsi="Calibri" w:cs="Times New Roman"/>
                <w:b/>
                <w:sz w:val="18"/>
                <w:szCs w:val="18"/>
              </w:rPr>
            </w:pPr>
            <w:r w:rsidRPr="009539B2">
              <w:rPr>
                <w:rFonts w:ascii="Calibri" w:eastAsia="Calibri" w:hAnsi="Calibri" w:cs="Times New Roman"/>
                <w:b/>
                <w:sz w:val="18"/>
                <w:szCs w:val="18"/>
              </w:rPr>
              <w:lastRenderedPageBreak/>
              <w:t>ARTS &amp; LETTERS</w:t>
            </w:r>
          </w:p>
        </w:tc>
        <w:tc>
          <w:tcPr>
            <w:tcW w:w="2455" w:type="dxa"/>
          </w:tcPr>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Comics</w:t>
            </w: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Illustrations</w:t>
            </w: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Spoken Work Audio</w:t>
            </w: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Poems</w:t>
            </w: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Art</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color w:val="5B9BD5"/>
                <w:sz w:val="18"/>
                <w:szCs w:val="18"/>
                <w14:textFill>
                  <w14:solidFill>
                    <w14:srgbClr w14:val="5B9BD5">
                      <w14:lumMod w14:val="75000"/>
                    </w14:srgbClr>
                  </w14:solidFill>
                </w14:textFill>
              </w:rPr>
            </w:pPr>
            <w:r w:rsidRPr="009539B2">
              <w:rPr>
                <w:rFonts w:ascii="Calibri" w:eastAsia="Calibri" w:hAnsi="Calibri" w:cs="Times New Roman"/>
                <w:sz w:val="18"/>
                <w:szCs w:val="18"/>
              </w:rPr>
              <w:t>*</w:t>
            </w:r>
            <w:r w:rsidRPr="009539B2">
              <w:rPr>
                <w:rFonts w:ascii="Calibri" w:eastAsia="Calibri" w:hAnsi="Calibri" w:cs="Times New Roman"/>
                <w:color w:val="5B9BD5"/>
                <w:sz w:val="18"/>
                <w:szCs w:val="18"/>
                <w14:textFill>
                  <w14:solidFill>
                    <w14:srgbClr w14:val="5B9BD5">
                      <w14:lumMod w14:val="75000"/>
                    </w14:srgbClr>
                  </w14:solidFill>
                </w14:textFill>
              </w:rPr>
              <w:t xml:space="preserve">P, E, or A. </w:t>
            </w:r>
          </w:p>
          <w:p w:rsidR="009539B2" w:rsidRPr="009539B2" w:rsidRDefault="009539B2" w:rsidP="009539B2">
            <w:pPr>
              <w:rPr>
                <w:rFonts w:ascii="Calibri" w:eastAsia="Calibri" w:hAnsi="Calibri" w:cs="Times New Roman"/>
                <w:sz w:val="18"/>
                <w:szCs w:val="18"/>
              </w:rPr>
            </w:pPr>
          </w:p>
        </w:tc>
        <w:tc>
          <w:tcPr>
            <w:tcW w:w="6095" w:type="dxa"/>
          </w:tcPr>
          <w:p w:rsidR="00285230" w:rsidRPr="009539B2" w:rsidRDefault="00285230" w:rsidP="009539B2">
            <w:pPr>
              <w:rPr>
                <w:rFonts w:ascii="Calibri" w:eastAsia="Calibri" w:hAnsi="Calibri" w:cs="Times New Roman"/>
                <w:sz w:val="18"/>
                <w:szCs w:val="18"/>
              </w:rPr>
            </w:pPr>
            <w:r>
              <w:rPr>
                <w:rFonts w:ascii="Calibri" w:eastAsia="Calibri" w:hAnsi="Calibri" w:cs="Times New Roman"/>
                <w:sz w:val="18"/>
                <w:szCs w:val="18"/>
              </w:rPr>
              <w:t xml:space="preserve">Looking for art to illustrate features/articles, plus stand alone pieces that serve as commentary or inspiration to our readers. </w:t>
            </w:r>
          </w:p>
        </w:tc>
      </w:tr>
      <w:tr w:rsidR="009539B2" w:rsidRPr="009539B2" w:rsidTr="009539B2">
        <w:tc>
          <w:tcPr>
            <w:tcW w:w="1373" w:type="dxa"/>
          </w:tcPr>
          <w:p w:rsidR="009539B2" w:rsidRPr="009539B2" w:rsidRDefault="009539B2" w:rsidP="009539B2">
            <w:pPr>
              <w:rPr>
                <w:rFonts w:ascii="Calibri" w:eastAsia="Calibri" w:hAnsi="Calibri" w:cs="Times New Roman"/>
                <w:b/>
                <w:sz w:val="18"/>
                <w:szCs w:val="18"/>
              </w:rPr>
            </w:pPr>
            <w:r w:rsidRPr="009539B2">
              <w:rPr>
                <w:rFonts w:ascii="Calibri" w:eastAsia="Calibri" w:hAnsi="Calibri" w:cs="Times New Roman"/>
                <w:b/>
                <w:sz w:val="18"/>
                <w:szCs w:val="18"/>
              </w:rPr>
              <w:t>ACTIVISM/</w:t>
            </w:r>
          </w:p>
          <w:p w:rsidR="009539B2" w:rsidRPr="009539B2" w:rsidRDefault="00DD612C" w:rsidP="009539B2">
            <w:pPr>
              <w:rPr>
                <w:rFonts w:ascii="Calibri" w:eastAsia="Calibri" w:hAnsi="Calibri" w:cs="Times New Roman"/>
                <w:b/>
                <w:sz w:val="18"/>
                <w:szCs w:val="18"/>
              </w:rPr>
            </w:pPr>
            <w:r>
              <w:rPr>
                <w:rFonts w:ascii="Calibri" w:eastAsia="Calibri" w:hAnsi="Calibri" w:cs="Times New Roman"/>
                <w:b/>
                <w:sz w:val="18"/>
                <w:szCs w:val="18"/>
              </w:rPr>
              <w:t>EQUALITY</w:t>
            </w:r>
          </w:p>
        </w:tc>
        <w:tc>
          <w:tcPr>
            <w:tcW w:w="2455" w:type="dxa"/>
          </w:tcPr>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Opinion-E, P</w:t>
            </w: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br/>
              <w:t>Investigative P</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Profiles E, A, P</w:t>
            </w:r>
          </w:p>
          <w:p w:rsidR="009539B2" w:rsidRPr="009539B2" w:rsidRDefault="009539B2" w:rsidP="009539B2">
            <w:pPr>
              <w:rPr>
                <w:rFonts w:ascii="Calibri" w:eastAsia="Calibri" w:hAnsi="Calibri" w:cs="Times New Roman"/>
                <w:sz w:val="18"/>
                <w:szCs w:val="18"/>
              </w:rPr>
            </w:pPr>
          </w:p>
          <w:p w:rsidR="009539B2" w:rsidRP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Observations </w:t>
            </w:r>
            <w:r w:rsidRPr="009539B2">
              <w:rPr>
                <w:rFonts w:ascii="Calibri" w:eastAsia="Calibri" w:hAnsi="Calibri" w:cs="Times New Roman"/>
                <w:color w:val="5B9BD5"/>
                <w:sz w:val="18"/>
                <w:szCs w:val="18"/>
                <w14:textFill>
                  <w14:solidFill>
                    <w14:srgbClr w14:val="5B9BD5">
                      <w14:lumMod w14:val="75000"/>
                    </w14:srgbClr>
                  </w14:solidFill>
                </w14:textFill>
              </w:rPr>
              <w:t xml:space="preserve">P, E, A </w:t>
            </w:r>
          </w:p>
        </w:tc>
        <w:tc>
          <w:tcPr>
            <w:tcW w:w="6095" w:type="dxa"/>
          </w:tcPr>
          <w:p w:rsidR="009539B2" w:rsidRDefault="009539B2" w:rsidP="009539B2">
            <w:pPr>
              <w:rPr>
                <w:rFonts w:ascii="Calibri" w:eastAsia="Calibri" w:hAnsi="Calibri" w:cs="Times New Roman"/>
                <w:sz w:val="18"/>
                <w:szCs w:val="18"/>
              </w:rPr>
            </w:pPr>
            <w:r w:rsidRPr="009539B2">
              <w:rPr>
                <w:rFonts w:ascii="Calibri" w:eastAsia="Calibri" w:hAnsi="Calibri" w:cs="Times New Roman"/>
                <w:sz w:val="18"/>
                <w:szCs w:val="18"/>
              </w:rPr>
              <w:t xml:space="preserve">Highlighting social and environmental justice political issues of concern/interest to feminist entrepreneurs; the work of fem-ent activists, etc. </w:t>
            </w:r>
          </w:p>
          <w:p w:rsidR="00285230" w:rsidRDefault="00285230" w:rsidP="009539B2">
            <w:pPr>
              <w:rPr>
                <w:rFonts w:ascii="Calibri" w:eastAsia="Calibri" w:hAnsi="Calibri" w:cs="Times New Roman"/>
                <w:sz w:val="18"/>
                <w:szCs w:val="18"/>
              </w:rPr>
            </w:pPr>
          </w:p>
          <w:p w:rsidR="00285230" w:rsidRPr="009539B2" w:rsidRDefault="00285230" w:rsidP="009539B2">
            <w:pPr>
              <w:rPr>
                <w:rFonts w:ascii="Calibri" w:eastAsia="Calibri" w:hAnsi="Calibri" w:cs="Times New Roman"/>
                <w:sz w:val="18"/>
                <w:szCs w:val="18"/>
              </w:rPr>
            </w:pPr>
            <w:r>
              <w:rPr>
                <w:rFonts w:ascii="Calibri" w:eastAsia="Calibri" w:hAnsi="Calibri" w:cs="Times New Roman"/>
                <w:sz w:val="18"/>
                <w:szCs w:val="18"/>
              </w:rPr>
              <w:t>300-600 words</w:t>
            </w:r>
          </w:p>
        </w:tc>
      </w:tr>
    </w:tbl>
    <w:p w:rsidR="009539B2" w:rsidRDefault="009539B2" w:rsidP="008533E8"/>
    <w:p w:rsidR="00610A6D" w:rsidRPr="00CA45D8" w:rsidRDefault="00307479" w:rsidP="00610A6D">
      <w:pPr>
        <w:rPr>
          <w:b/>
        </w:rPr>
      </w:pPr>
      <w:r w:rsidRPr="00CA45D8">
        <w:rPr>
          <w:b/>
        </w:rPr>
        <w:t xml:space="preserve">Examples of topics we are interested in: </w:t>
      </w:r>
    </w:p>
    <w:p w:rsidR="00CA45D8" w:rsidRPr="00CA45D8" w:rsidRDefault="00CA45D8" w:rsidP="00307479">
      <w:pPr>
        <w:pStyle w:val="ListParagraph"/>
        <w:numPr>
          <w:ilvl w:val="0"/>
          <w:numId w:val="2"/>
        </w:numPr>
        <w:rPr>
          <w:b/>
        </w:rPr>
        <w:sectPr w:rsidR="00CA45D8" w:rsidRPr="00CA45D8">
          <w:pgSz w:w="12240" w:h="15840"/>
          <w:pgMar w:top="1440" w:right="1440" w:bottom="1440" w:left="1440" w:header="708" w:footer="708" w:gutter="0"/>
          <w:cols w:space="708"/>
          <w:docGrid w:linePitch="360"/>
        </w:sectPr>
      </w:pPr>
    </w:p>
    <w:p w:rsidR="00307479" w:rsidRDefault="00307479" w:rsidP="00307479">
      <w:pPr>
        <w:pStyle w:val="ListParagraph"/>
        <w:numPr>
          <w:ilvl w:val="0"/>
          <w:numId w:val="2"/>
        </w:numPr>
      </w:pPr>
      <w:r>
        <w:t>How feminist entrepreneurs view the world</w:t>
      </w:r>
    </w:p>
    <w:p w:rsidR="00CA45D8" w:rsidRDefault="00CA45D8" w:rsidP="00307479">
      <w:pPr>
        <w:pStyle w:val="ListParagraph"/>
        <w:numPr>
          <w:ilvl w:val="0"/>
          <w:numId w:val="2"/>
        </w:numPr>
      </w:pPr>
      <w:r>
        <w:t>The entrepreneurial eco-system: how well does it serve?</w:t>
      </w:r>
      <w:r w:rsidR="00F71C2C">
        <w:t xml:space="preserve"> Opportunities to improve?</w:t>
      </w:r>
    </w:p>
    <w:p w:rsidR="00CA45D8" w:rsidRDefault="00CA45D8" w:rsidP="00307479">
      <w:pPr>
        <w:pStyle w:val="ListParagraph"/>
        <w:numPr>
          <w:ilvl w:val="0"/>
          <w:numId w:val="2"/>
        </w:numPr>
      </w:pPr>
      <w:r>
        <w:t xml:space="preserve">Policies, laws, institutions—how well do they serve interests of </w:t>
      </w:r>
      <w:r w:rsidR="00F71C2C">
        <w:t xml:space="preserve">today’s fem-led </w:t>
      </w:r>
      <w:r>
        <w:t>entrepreneurs?</w:t>
      </w:r>
    </w:p>
    <w:p w:rsidR="00307479" w:rsidRDefault="00307479" w:rsidP="00307479">
      <w:pPr>
        <w:pStyle w:val="ListParagraph"/>
        <w:numPr>
          <w:ilvl w:val="0"/>
          <w:numId w:val="2"/>
        </w:numPr>
      </w:pPr>
      <w:r>
        <w:t xml:space="preserve">Decision making and choices </w:t>
      </w:r>
      <w:r w:rsidR="00F71C2C">
        <w:t xml:space="preserve">faced by </w:t>
      </w:r>
      <w:r>
        <w:t>feminist entrepreneurs</w:t>
      </w:r>
    </w:p>
    <w:p w:rsidR="00307479" w:rsidRDefault="00307479" w:rsidP="00307479">
      <w:pPr>
        <w:pStyle w:val="ListParagraph"/>
        <w:numPr>
          <w:ilvl w:val="0"/>
          <w:numId w:val="2"/>
        </w:numPr>
      </w:pPr>
      <w:r>
        <w:t>Success stories, failure/triumph stories</w:t>
      </w:r>
    </w:p>
    <w:p w:rsidR="00307479" w:rsidRDefault="00307479" w:rsidP="00307479">
      <w:pPr>
        <w:pStyle w:val="ListParagraph"/>
        <w:numPr>
          <w:ilvl w:val="0"/>
          <w:numId w:val="2"/>
        </w:numPr>
      </w:pPr>
      <w:r>
        <w:t>International experiences with entrepreneurship</w:t>
      </w:r>
    </w:p>
    <w:p w:rsidR="00307479" w:rsidRDefault="00307479" w:rsidP="00307479">
      <w:pPr>
        <w:pStyle w:val="ListParagraph"/>
        <w:numPr>
          <w:ilvl w:val="0"/>
          <w:numId w:val="2"/>
        </w:numPr>
      </w:pPr>
      <w:r>
        <w:t>Entrepreneurship and ageism</w:t>
      </w:r>
    </w:p>
    <w:p w:rsidR="00307479" w:rsidRDefault="00307479" w:rsidP="00307479">
      <w:pPr>
        <w:pStyle w:val="ListParagraph"/>
        <w:numPr>
          <w:ilvl w:val="0"/>
          <w:numId w:val="2"/>
        </w:numPr>
      </w:pPr>
      <w:r>
        <w:t>Sexism in entrepreneurship space</w:t>
      </w:r>
    </w:p>
    <w:p w:rsidR="00CA45D8" w:rsidRDefault="00CA45D8" w:rsidP="00307479">
      <w:pPr>
        <w:pStyle w:val="ListParagraph"/>
        <w:numPr>
          <w:ilvl w:val="0"/>
          <w:numId w:val="2"/>
        </w:numPr>
      </w:pPr>
      <w:r>
        <w:t>First Nations entrepreneurship</w:t>
      </w:r>
    </w:p>
    <w:p w:rsidR="00CA45D8" w:rsidRDefault="00CA45D8" w:rsidP="00307479">
      <w:pPr>
        <w:pStyle w:val="ListParagraph"/>
        <w:numPr>
          <w:ilvl w:val="0"/>
          <w:numId w:val="2"/>
        </w:numPr>
      </w:pPr>
      <w:r>
        <w:t>LGBTQ entrepreneurship</w:t>
      </w:r>
    </w:p>
    <w:p w:rsidR="00CA45D8" w:rsidRDefault="00CA45D8" w:rsidP="00307479">
      <w:pPr>
        <w:pStyle w:val="ListParagraph"/>
        <w:numPr>
          <w:ilvl w:val="0"/>
          <w:numId w:val="2"/>
        </w:numPr>
      </w:pPr>
      <w:r>
        <w:t>Women of Colour and entrepreneurship</w:t>
      </w:r>
    </w:p>
    <w:p w:rsidR="00CA45D8" w:rsidRDefault="00CA45D8" w:rsidP="00307479">
      <w:pPr>
        <w:pStyle w:val="ListParagraph"/>
        <w:numPr>
          <w:ilvl w:val="0"/>
          <w:numId w:val="2"/>
        </w:numPr>
      </w:pPr>
      <w:r>
        <w:t>Ableism and entrepreneurship</w:t>
      </w:r>
    </w:p>
    <w:p w:rsidR="00307479" w:rsidRDefault="00307479" w:rsidP="00307479">
      <w:pPr>
        <w:pStyle w:val="ListParagraph"/>
        <w:numPr>
          <w:ilvl w:val="0"/>
          <w:numId w:val="2"/>
        </w:numPr>
      </w:pPr>
      <w:r>
        <w:t>Women entrepreneurs and the environment</w:t>
      </w:r>
    </w:p>
    <w:p w:rsidR="00307479" w:rsidRDefault="00307479" w:rsidP="00307479">
      <w:pPr>
        <w:pStyle w:val="ListParagraph"/>
        <w:numPr>
          <w:ilvl w:val="0"/>
          <w:numId w:val="2"/>
        </w:numPr>
      </w:pPr>
      <w:r>
        <w:t>Caregiving, family, and impact on entrepreneurs</w:t>
      </w:r>
      <w:r w:rsidR="00F71C2C">
        <w:t>;</w:t>
      </w:r>
    </w:p>
    <w:p w:rsidR="00307479" w:rsidRDefault="00307479" w:rsidP="00307479">
      <w:pPr>
        <w:pStyle w:val="ListParagraph"/>
        <w:numPr>
          <w:ilvl w:val="0"/>
          <w:numId w:val="2"/>
        </w:numPr>
      </w:pPr>
      <w:r>
        <w:t>Cultural, social, gender bias and entrepreneurship</w:t>
      </w:r>
    </w:p>
    <w:p w:rsidR="00307479" w:rsidRDefault="00307479" w:rsidP="00307479">
      <w:pPr>
        <w:pStyle w:val="ListParagraph"/>
        <w:numPr>
          <w:ilvl w:val="0"/>
          <w:numId w:val="2"/>
        </w:numPr>
      </w:pPr>
      <w:r>
        <w:t>How media portrays entrepreneurs and entrepreneurship</w:t>
      </w:r>
    </w:p>
    <w:p w:rsidR="00307479" w:rsidRDefault="00307479" w:rsidP="00307479">
      <w:pPr>
        <w:pStyle w:val="ListParagraph"/>
        <w:numPr>
          <w:ilvl w:val="0"/>
          <w:numId w:val="2"/>
        </w:numPr>
      </w:pPr>
      <w:r>
        <w:t>Inequality in entrepreneurship</w:t>
      </w:r>
    </w:p>
    <w:p w:rsidR="00307479" w:rsidRDefault="00307479" w:rsidP="00307479">
      <w:pPr>
        <w:pStyle w:val="ListParagraph"/>
        <w:numPr>
          <w:ilvl w:val="0"/>
          <w:numId w:val="2"/>
        </w:numPr>
      </w:pPr>
      <w:r>
        <w:t>Lack of industry diversity in women’s entrepreneurship</w:t>
      </w:r>
      <w:r w:rsidR="00F71C2C">
        <w:t>: entrepreneurial ghettos</w:t>
      </w:r>
    </w:p>
    <w:p w:rsidR="00DC7AD3" w:rsidRDefault="00DC7AD3" w:rsidP="00307479">
      <w:pPr>
        <w:pStyle w:val="ListParagraph"/>
        <w:numPr>
          <w:ilvl w:val="0"/>
          <w:numId w:val="2"/>
        </w:numPr>
      </w:pPr>
      <w:r>
        <w:t xml:space="preserve">How feminine traits like capacity for empathy, preference for collaboration (over competing), concern for community, the planet, health of society, impetus to share, support, see the larger picture etc impacts decision making and actions as entrepreneur. </w:t>
      </w:r>
    </w:p>
    <w:p w:rsidR="00307479" w:rsidRDefault="00307479" w:rsidP="00307479">
      <w:pPr>
        <w:pStyle w:val="ListParagraph"/>
        <w:numPr>
          <w:ilvl w:val="0"/>
          <w:numId w:val="2"/>
        </w:numPr>
      </w:pPr>
      <w:r>
        <w:t>The pay gap and entrepreneurship</w:t>
      </w:r>
    </w:p>
    <w:p w:rsidR="00307479" w:rsidRDefault="00307479" w:rsidP="00307479">
      <w:pPr>
        <w:pStyle w:val="ListParagraph"/>
        <w:numPr>
          <w:ilvl w:val="0"/>
          <w:numId w:val="2"/>
        </w:numPr>
      </w:pPr>
      <w:r>
        <w:t>Marginalized entrepreneurs</w:t>
      </w:r>
    </w:p>
    <w:p w:rsidR="00307479" w:rsidRDefault="00307479" w:rsidP="00307479">
      <w:pPr>
        <w:pStyle w:val="ListParagraph"/>
        <w:numPr>
          <w:ilvl w:val="0"/>
          <w:numId w:val="2"/>
        </w:numPr>
      </w:pPr>
      <w:r>
        <w:t>Access to capital</w:t>
      </w:r>
    </w:p>
    <w:p w:rsidR="00CA45D8" w:rsidRDefault="00CA45D8" w:rsidP="00CA45D8">
      <w:pPr>
        <w:sectPr w:rsidR="00CA45D8" w:rsidSect="00CA45D8">
          <w:type w:val="continuous"/>
          <w:pgSz w:w="12240" w:h="15840"/>
          <w:pgMar w:top="1440" w:right="1440" w:bottom="1440" w:left="1440" w:header="708" w:footer="708" w:gutter="0"/>
          <w:cols w:num="2" w:space="708"/>
          <w:docGrid w:linePitch="360"/>
        </w:sectPr>
      </w:pPr>
    </w:p>
    <w:p w:rsidR="00CA45D8" w:rsidRDefault="00CA45D8" w:rsidP="00CA45D8">
      <w:pPr>
        <w:pStyle w:val="ListParagraph"/>
      </w:pPr>
    </w:p>
    <w:p w:rsidR="00610A6D" w:rsidRDefault="00610A6D" w:rsidP="00610A6D"/>
    <w:p w:rsidR="008533E8" w:rsidRPr="00610A6D" w:rsidRDefault="008533E8" w:rsidP="008533E8">
      <w:pPr>
        <w:rPr>
          <w:b/>
        </w:rPr>
      </w:pPr>
      <w:r w:rsidRPr="00610A6D">
        <w:rPr>
          <w:b/>
        </w:rPr>
        <w:t>Things to note:</w:t>
      </w:r>
    </w:p>
    <w:p w:rsidR="00005316" w:rsidRDefault="008533E8" w:rsidP="00810F62">
      <w:pPr>
        <w:pStyle w:val="ListParagraph"/>
        <w:numPr>
          <w:ilvl w:val="0"/>
          <w:numId w:val="4"/>
        </w:numPr>
      </w:pPr>
      <w:r>
        <w:t>We do not accept queries that are currently being considered by other publications.</w:t>
      </w:r>
      <w:r w:rsidR="00610A6D">
        <w:t xml:space="preserve"> </w:t>
      </w:r>
    </w:p>
    <w:p w:rsidR="00C90359" w:rsidRDefault="00F71C2C" w:rsidP="00810F62">
      <w:pPr>
        <w:pStyle w:val="ListParagraph"/>
        <w:numPr>
          <w:ilvl w:val="0"/>
          <w:numId w:val="4"/>
        </w:numPr>
      </w:pPr>
      <w:r>
        <w:lastRenderedPageBreak/>
        <w:t xml:space="preserve">If you want to </w:t>
      </w:r>
      <w:r w:rsidR="00C90359">
        <w:t>pitch a story, we need a query or</w:t>
      </w:r>
      <w:r w:rsidR="008D432A" w:rsidRPr="008D432A">
        <w:t xml:space="preserve"> idea summary </w:t>
      </w:r>
      <w:r w:rsidR="00C90359">
        <w:t xml:space="preserve">which includes brief summary (150-250 words) plus the opening paragraph or nutgraph, and how you plan to go about researching for the piece (if appropriate).  If you are new to us, please also send a sample of previously published or your best work from your blog or website. </w:t>
      </w:r>
    </w:p>
    <w:p w:rsidR="00005316" w:rsidRDefault="008D432A" w:rsidP="00810F62">
      <w:pPr>
        <w:pStyle w:val="ListParagraph"/>
        <w:numPr>
          <w:ilvl w:val="0"/>
          <w:numId w:val="4"/>
        </w:numPr>
      </w:pPr>
      <w:r w:rsidRPr="008D432A">
        <w:t>If the idea works, we will engage with you. We’ll talk about your intended approach, length, and other relevant things. If you have actually completed the piece, after we’ve talked, tell us if you think it fits the criteria we’ve outlined. Then we’ll be happy to read it, provide feedback, and you can decide if you’re prepared to make any changes. But, please, don’t send the whole manuscript to start.</w:t>
      </w:r>
    </w:p>
    <w:p w:rsidR="00462411" w:rsidRDefault="006F7BB0" w:rsidP="00810F62">
      <w:pPr>
        <w:pStyle w:val="ListParagraph"/>
        <w:numPr>
          <w:ilvl w:val="0"/>
          <w:numId w:val="4"/>
        </w:numPr>
        <w:rPr>
          <w:rStyle w:val="Hyperlink"/>
        </w:rPr>
      </w:pPr>
      <w:r>
        <w:t xml:space="preserve">Send </w:t>
      </w:r>
      <w:r w:rsidR="001F4A24">
        <w:t xml:space="preserve">queries and </w:t>
      </w:r>
      <w:r>
        <w:t>pitches and ques</w:t>
      </w:r>
      <w:r w:rsidR="00462411">
        <w:t xml:space="preserve">tions to </w:t>
      </w:r>
      <w:hyperlink r:id="rId6" w:history="1">
        <w:r w:rsidR="00462411" w:rsidRPr="00A06EC0">
          <w:rPr>
            <w:rStyle w:val="Hyperlink"/>
          </w:rPr>
          <w:t>publisher@Liisbeth.com</w:t>
        </w:r>
      </w:hyperlink>
    </w:p>
    <w:p w:rsidR="00005316" w:rsidRDefault="00005316" w:rsidP="00810F62">
      <w:pPr>
        <w:pStyle w:val="ListParagraph"/>
        <w:numPr>
          <w:ilvl w:val="0"/>
          <w:numId w:val="4"/>
        </w:numPr>
      </w:pPr>
      <w:r>
        <w:t>We receive a high volume of article queries, and regret that we cannot guarantee a response in every case.</w:t>
      </w:r>
    </w:p>
    <w:p w:rsidR="00285230" w:rsidRDefault="00285230" w:rsidP="00005316">
      <w:pPr>
        <w:rPr>
          <w:b/>
        </w:rPr>
      </w:pPr>
    </w:p>
    <w:p w:rsidR="002D4600" w:rsidRDefault="00CE2F93" w:rsidP="00005316">
      <w:pPr>
        <w:rPr>
          <w:b/>
        </w:rPr>
      </w:pPr>
      <w:r>
        <w:rPr>
          <w:b/>
        </w:rPr>
        <w:t>Quarterly</w:t>
      </w:r>
      <w:r w:rsidR="002D4600" w:rsidRPr="002D4600">
        <w:rPr>
          <w:b/>
        </w:rPr>
        <w:t xml:space="preserve"> Themes and Due Dates</w:t>
      </w:r>
    </w:p>
    <w:p w:rsidR="00B9440D" w:rsidRPr="00A46A9B" w:rsidRDefault="00B9440D" w:rsidP="00B9440D">
      <w:pPr>
        <w:spacing w:after="225" w:line="360" w:lineRule="atLeast"/>
        <w:rPr>
          <w:rFonts w:eastAsia="Times New Roman" w:cs="Helvetica"/>
          <w:color w:val="333333"/>
          <w:lang w:eastAsia="en-CA"/>
        </w:rPr>
      </w:pPr>
      <w:r w:rsidRPr="00A46A9B">
        <w:rPr>
          <w:rFonts w:eastAsia="Times New Roman" w:cs="Helvetica"/>
          <w:color w:val="333333"/>
          <w:lang w:eastAsia="en-CA"/>
        </w:rPr>
        <w:t xml:space="preserve">Our publishing schedule features a theme each </w:t>
      </w:r>
      <w:r w:rsidR="00CE2F93" w:rsidRPr="00A46A9B">
        <w:rPr>
          <w:rFonts w:eastAsia="Times New Roman" w:cs="Helvetica"/>
          <w:color w:val="333333"/>
          <w:lang w:eastAsia="en-CA"/>
        </w:rPr>
        <w:t>quarter</w:t>
      </w:r>
      <w:r w:rsidRPr="00A46A9B">
        <w:rPr>
          <w:rFonts w:eastAsia="Times New Roman" w:cs="Helvetica"/>
          <w:color w:val="333333"/>
          <w:lang w:eastAsia="en-CA"/>
        </w:rPr>
        <w:t>.  We require long form feature articles/arts and letters pieces to be submitted at least 1 month in advance.   As our enterprise grows, we will be publishing more and more original content.</w:t>
      </w:r>
    </w:p>
    <w:p w:rsidR="00B9440D" w:rsidRPr="00B9440D" w:rsidRDefault="00CE2F93" w:rsidP="00B9440D">
      <w:pPr>
        <w:spacing w:after="225" w:line="360" w:lineRule="atLeast"/>
        <w:outlineLvl w:val="2"/>
        <w:rPr>
          <w:rFonts w:ascii="Helvetica" w:eastAsia="Times New Roman" w:hAnsi="Helvetica" w:cs="Helvetica"/>
          <w:b/>
          <w:bCs/>
          <w:color w:val="333333"/>
          <w:sz w:val="24"/>
          <w:szCs w:val="24"/>
          <w:lang w:eastAsia="en-CA"/>
        </w:rPr>
      </w:pPr>
      <w:r>
        <w:rPr>
          <w:rFonts w:ascii="Helvetica" w:eastAsia="Times New Roman" w:hAnsi="Helvetica" w:cs="Helvetica"/>
          <w:b/>
          <w:bCs/>
          <w:color w:val="333333"/>
          <w:sz w:val="24"/>
          <w:szCs w:val="24"/>
          <w:lang w:eastAsia="en-CA"/>
        </w:rPr>
        <w:t>Quarterly</w:t>
      </w:r>
      <w:r w:rsidR="00B9440D" w:rsidRPr="00B9440D">
        <w:rPr>
          <w:rFonts w:ascii="Helvetica" w:eastAsia="Times New Roman" w:hAnsi="Helvetica" w:cs="Helvetica"/>
          <w:b/>
          <w:bCs/>
          <w:color w:val="333333"/>
          <w:sz w:val="24"/>
          <w:szCs w:val="24"/>
          <w:lang w:eastAsia="en-CA"/>
        </w:rPr>
        <w:t xml:space="preserve"> Themes and Due Dates</w:t>
      </w:r>
    </w:p>
    <w:tbl>
      <w:tblPr>
        <w:tblStyle w:val="TableGrid"/>
        <w:tblW w:w="0" w:type="auto"/>
        <w:tblLook w:val="04A0" w:firstRow="1" w:lastRow="0" w:firstColumn="1" w:lastColumn="0" w:noHBand="0" w:noVBand="1"/>
      </w:tblPr>
      <w:tblGrid>
        <w:gridCol w:w="1696"/>
        <w:gridCol w:w="2552"/>
        <w:gridCol w:w="3969"/>
      </w:tblGrid>
      <w:tr w:rsidR="00CE2F93" w:rsidTr="00CE2F93">
        <w:tc>
          <w:tcPr>
            <w:tcW w:w="1696" w:type="dxa"/>
            <w:shd w:val="clear" w:color="auto" w:fill="000000" w:themeFill="text1"/>
          </w:tcPr>
          <w:p w:rsidR="00CE2F93" w:rsidRDefault="00CE2F93" w:rsidP="00005316">
            <w:pPr>
              <w:rPr>
                <w:b/>
              </w:rPr>
            </w:pPr>
            <w:r>
              <w:rPr>
                <w:b/>
              </w:rPr>
              <w:t>PERIOD</w:t>
            </w:r>
          </w:p>
        </w:tc>
        <w:tc>
          <w:tcPr>
            <w:tcW w:w="2552" w:type="dxa"/>
            <w:shd w:val="clear" w:color="auto" w:fill="000000" w:themeFill="text1"/>
          </w:tcPr>
          <w:p w:rsidR="00CE2F93" w:rsidRDefault="00CE2F93" w:rsidP="00005316">
            <w:pPr>
              <w:rPr>
                <w:b/>
              </w:rPr>
            </w:pPr>
            <w:r>
              <w:rPr>
                <w:b/>
              </w:rPr>
              <w:t>THEME</w:t>
            </w:r>
          </w:p>
        </w:tc>
        <w:tc>
          <w:tcPr>
            <w:tcW w:w="3969" w:type="dxa"/>
            <w:shd w:val="clear" w:color="auto" w:fill="000000" w:themeFill="text1"/>
          </w:tcPr>
          <w:p w:rsidR="00CE2F93" w:rsidRDefault="00CE2F93" w:rsidP="00005316">
            <w:pPr>
              <w:rPr>
                <w:b/>
              </w:rPr>
            </w:pPr>
            <w:r>
              <w:rPr>
                <w:b/>
              </w:rPr>
              <w:t>Looking for…</w:t>
            </w:r>
          </w:p>
        </w:tc>
      </w:tr>
      <w:tr w:rsidR="00CE2F93" w:rsidTr="00CE2F93">
        <w:tc>
          <w:tcPr>
            <w:tcW w:w="1696" w:type="dxa"/>
          </w:tcPr>
          <w:p w:rsidR="00CE2F93" w:rsidRDefault="00CE2F93" w:rsidP="00005316">
            <w:pPr>
              <w:rPr>
                <w:b/>
              </w:rPr>
            </w:pPr>
            <w:r>
              <w:rPr>
                <w:b/>
              </w:rPr>
              <w:t>Feb/March</w:t>
            </w:r>
          </w:p>
          <w:p w:rsidR="00CE2F93" w:rsidRPr="00CE2F93" w:rsidRDefault="00CE2F93" w:rsidP="00CE2F93">
            <w:pPr>
              <w:rPr>
                <w:b/>
              </w:rPr>
            </w:pPr>
          </w:p>
        </w:tc>
        <w:tc>
          <w:tcPr>
            <w:tcW w:w="2552" w:type="dxa"/>
          </w:tcPr>
          <w:p w:rsidR="00CE2F93" w:rsidRDefault="00285230" w:rsidP="00005316">
            <w:pPr>
              <w:rPr>
                <w:b/>
              </w:rPr>
            </w:pPr>
            <w:r>
              <w:rPr>
                <w:b/>
              </w:rPr>
              <w:t xml:space="preserve">Entrepreneur Eco-System ie; Incubators, </w:t>
            </w:r>
          </w:p>
        </w:tc>
        <w:tc>
          <w:tcPr>
            <w:tcW w:w="3969" w:type="dxa"/>
          </w:tcPr>
          <w:p w:rsidR="00CE2F93" w:rsidRPr="00CE2F93" w:rsidRDefault="00CE2F93" w:rsidP="00CE2F93">
            <w:r w:rsidRPr="00CE2F93">
              <w:t xml:space="preserve">Stories from women entrepreneurs who have </w:t>
            </w:r>
            <w:r>
              <w:t>participated</w:t>
            </w:r>
            <w:r w:rsidRPr="00CE2F93">
              <w:t xml:space="preserve"> in a start-up incubator, stories about women only incubators, </w:t>
            </w:r>
            <w:r>
              <w:t xml:space="preserve"> pitch competition experiences etc. </w:t>
            </w:r>
            <w:r w:rsidR="00285230">
              <w:t xml:space="preserve"> Stories about how women entrepreneurs are being supported –other places in the world. </w:t>
            </w:r>
          </w:p>
        </w:tc>
      </w:tr>
      <w:tr w:rsidR="00CE2F93" w:rsidTr="00CE2F93">
        <w:tc>
          <w:tcPr>
            <w:tcW w:w="1696" w:type="dxa"/>
          </w:tcPr>
          <w:p w:rsidR="00CE2F93" w:rsidRDefault="00CE2F93" w:rsidP="00005316">
            <w:pPr>
              <w:rPr>
                <w:b/>
              </w:rPr>
            </w:pPr>
            <w:r>
              <w:rPr>
                <w:b/>
              </w:rPr>
              <w:t>April-June</w:t>
            </w:r>
          </w:p>
        </w:tc>
        <w:tc>
          <w:tcPr>
            <w:tcW w:w="2552" w:type="dxa"/>
          </w:tcPr>
          <w:p w:rsidR="00CE2F93" w:rsidRDefault="00285230" w:rsidP="00005316">
            <w:pPr>
              <w:rPr>
                <w:b/>
              </w:rPr>
            </w:pPr>
            <w:r>
              <w:rPr>
                <w:b/>
              </w:rPr>
              <w:t xml:space="preserve">TBD </w:t>
            </w:r>
          </w:p>
        </w:tc>
        <w:tc>
          <w:tcPr>
            <w:tcW w:w="3969" w:type="dxa"/>
          </w:tcPr>
          <w:p w:rsidR="00CE2F93" w:rsidRPr="00CE2F93" w:rsidRDefault="00CE2F93" w:rsidP="00005316"/>
        </w:tc>
      </w:tr>
      <w:tr w:rsidR="00CE2F93" w:rsidTr="00CE2F93">
        <w:tc>
          <w:tcPr>
            <w:tcW w:w="1696" w:type="dxa"/>
          </w:tcPr>
          <w:p w:rsidR="00CE2F93" w:rsidRDefault="00CE2F93" w:rsidP="00005316">
            <w:pPr>
              <w:rPr>
                <w:b/>
              </w:rPr>
            </w:pPr>
            <w:r>
              <w:rPr>
                <w:b/>
              </w:rPr>
              <w:t>July-Sept</w:t>
            </w:r>
          </w:p>
        </w:tc>
        <w:tc>
          <w:tcPr>
            <w:tcW w:w="2552" w:type="dxa"/>
          </w:tcPr>
          <w:p w:rsidR="00CE2F93" w:rsidRDefault="00CE2F93" w:rsidP="00005316">
            <w:pPr>
              <w:rPr>
                <w:b/>
              </w:rPr>
            </w:pPr>
            <w:r>
              <w:rPr>
                <w:b/>
              </w:rPr>
              <w:t>TBD</w:t>
            </w:r>
          </w:p>
        </w:tc>
        <w:tc>
          <w:tcPr>
            <w:tcW w:w="3969" w:type="dxa"/>
          </w:tcPr>
          <w:p w:rsidR="00CE2F93" w:rsidRDefault="00CE2F93" w:rsidP="00005316">
            <w:pPr>
              <w:rPr>
                <w:b/>
              </w:rPr>
            </w:pPr>
          </w:p>
        </w:tc>
      </w:tr>
      <w:tr w:rsidR="00CE2F93" w:rsidTr="00CE2F93">
        <w:tc>
          <w:tcPr>
            <w:tcW w:w="1696" w:type="dxa"/>
          </w:tcPr>
          <w:p w:rsidR="00CE2F93" w:rsidRDefault="00CE2F93" w:rsidP="00005316">
            <w:pPr>
              <w:rPr>
                <w:b/>
              </w:rPr>
            </w:pPr>
            <w:r>
              <w:rPr>
                <w:b/>
              </w:rPr>
              <w:t>Oct-Dec</w:t>
            </w:r>
          </w:p>
        </w:tc>
        <w:tc>
          <w:tcPr>
            <w:tcW w:w="2552" w:type="dxa"/>
          </w:tcPr>
          <w:p w:rsidR="00CE2F93" w:rsidRDefault="00CE2F93" w:rsidP="00005316">
            <w:pPr>
              <w:rPr>
                <w:b/>
              </w:rPr>
            </w:pPr>
            <w:r>
              <w:rPr>
                <w:b/>
              </w:rPr>
              <w:t>TBD</w:t>
            </w:r>
          </w:p>
        </w:tc>
        <w:tc>
          <w:tcPr>
            <w:tcW w:w="3969" w:type="dxa"/>
          </w:tcPr>
          <w:p w:rsidR="00CE2F93" w:rsidRDefault="00CE2F93" w:rsidP="00005316">
            <w:pPr>
              <w:rPr>
                <w:b/>
              </w:rPr>
            </w:pPr>
          </w:p>
        </w:tc>
      </w:tr>
    </w:tbl>
    <w:p w:rsidR="00CE2F93" w:rsidRDefault="00CE2F93" w:rsidP="00005316">
      <w:pPr>
        <w:rPr>
          <w:b/>
        </w:rPr>
      </w:pPr>
    </w:p>
    <w:p w:rsidR="00CE2F93" w:rsidRDefault="00CE2F93" w:rsidP="00005316">
      <w:pPr>
        <w:rPr>
          <w:b/>
        </w:rPr>
      </w:pPr>
    </w:p>
    <w:p w:rsidR="002D4600" w:rsidRPr="002D4600" w:rsidRDefault="002D4600" w:rsidP="00005316">
      <w:pPr>
        <w:rPr>
          <w:b/>
        </w:rPr>
      </w:pPr>
      <w:r w:rsidRPr="002D4600">
        <w:rPr>
          <w:b/>
        </w:rPr>
        <w:t>Getting Paid</w:t>
      </w:r>
    </w:p>
    <w:p w:rsidR="00732D41" w:rsidRDefault="00CA2AA2" w:rsidP="00005316">
      <w:r>
        <w:t xml:space="preserve">We pay </w:t>
      </w:r>
      <w:r w:rsidR="00B9440D">
        <w:t xml:space="preserve">with 7 days </w:t>
      </w:r>
      <w:r>
        <w:t xml:space="preserve">upon </w:t>
      </w:r>
      <w:r w:rsidRPr="005038F2">
        <w:rPr>
          <w:i/>
          <w:color w:val="FF0000"/>
          <w:u w:val="single"/>
        </w:rPr>
        <w:t xml:space="preserve">acceptance </w:t>
      </w:r>
      <w:r>
        <w:t xml:space="preserve">of the article, illustration, or piece.  Acceptance will be confirmed in writing. </w:t>
      </w:r>
      <w:r w:rsidR="002E672A">
        <w:t xml:space="preserve"> P</w:t>
      </w:r>
      <w:r w:rsidR="002E672A" w:rsidRPr="002E672A">
        <w:t xml:space="preserve">lease send query which includes an overview of your story idea, the proposed opening paragraph or nutgraph, plus a brief overview of how you plan to research or develop the story, plus samples of previous writing.  </w:t>
      </w:r>
    </w:p>
    <w:p w:rsidR="00B9440D" w:rsidRDefault="00285230" w:rsidP="00B9440D">
      <w:pPr>
        <w:pStyle w:val="ListParagraph"/>
        <w:numPr>
          <w:ilvl w:val="0"/>
          <w:numId w:val="1"/>
        </w:numPr>
      </w:pPr>
      <w:r>
        <w:t xml:space="preserve">$750-$1000 </w:t>
      </w:r>
      <w:r w:rsidR="00B9440D">
        <w:t xml:space="preserve">for any assigned or accepted query for a long form narrative </w:t>
      </w:r>
      <w:r w:rsidR="00B9440D" w:rsidRPr="002E672A">
        <w:rPr>
          <w:b/>
        </w:rPr>
        <w:t>feature</w:t>
      </w:r>
      <w:r w:rsidR="00B9440D">
        <w:t xml:space="preserve"> of </w:t>
      </w:r>
      <w:r w:rsidR="002E672A">
        <w:t>1000</w:t>
      </w:r>
      <w:r w:rsidR="00B9440D">
        <w:t>-1</w:t>
      </w:r>
      <w:r w:rsidR="002E672A">
        <w:t>200</w:t>
      </w:r>
      <w:r w:rsidR="00B9440D">
        <w:t xml:space="preserve"> words by </w:t>
      </w:r>
      <w:r>
        <w:t>experience</w:t>
      </w:r>
      <w:r w:rsidR="002E672A">
        <w:t>d</w:t>
      </w:r>
      <w:r>
        <w:t xml:space="preserve"> professional </w:t>
      </w:r>
      <w:r w:rsidR="00B9440D">
        <w:t>writer</w:t>
      </w:r>
      <w:r w:rsidR="002E672A">
        <w:t>.</w:t>
      </w:r>
    </w:p>
    <w:p w:rsidR="00285230" w:rsidRDefault="00285230" w:rsidP="00B9440D">
      <w:pPr>
        <w:pStyle w:val="ListParagraph"/>
        <w:numPr>
          <w:ilvl w:val="0"/>
          <w:numId w:val="1"/>
        </w:numPr>
      </w:pPr>
      <w:r>
        <w:lastRenderedPageBreak/>
        <w:t xml:space="preserve">$500 </w:t>
      </w:r>
      <w:r w:rsidR="002E672A">
        <w:t xml:space="preserve">for assigned/accepted queries for features between 800-1000 from experienced or emerging writers. </w:t>
      </w:r>
    </w:p>
    <w:p w:rsidR="002E672A" w:rsidRDefault="00B9440D" w:rsidP="00F04580">
      <w:pPr>
        <w:pStyle w:val="ListParagraph"/>
        <w:numPr>
          <w:ilvl w:val="0"/>
          <w:numId w:val="1"/>
        </w:numPr>
      </w:pPr>
      <w:r>
        <w:t xml:space="preserve">$150 for all </w:t>
      </w:r>
      <w:r w:rsidR="002E672A">
        <w:t xml:space="preserve">other </w:t>
      </w:r>
      <w:r>
        <w:t>accepted short articles (350-</w:t>
      </w:r>
      <w:r w:rsidR="002E672A">
        <w:t>5</w:t>
      </w:r>
      <w:r>
        <w:t>00 words) or reprints</w:t>
      </w:r>
      <w:r w:rsidR="002E672A">
        <w:t xml:space="preserve"> from amateur, emerging and professional writers. </w:t>
      </w:r>
    </w:p>
    <w:p w:rsidR="00B9440D" w:rsidRDefault="00B9440D" w:rsidP="00F04580">
      <w:pPr>
        <w:pStyle w:val="ListParagraph"/>
        <w:numPr>
          <w:ilvl w:val="0"/>
          <w:numId w:val="1"/>
        </w:numPr>
      </w:pPr>
      <w:r>
        <w:t xml:space="preserve">Generally $150 for accepted but non-commissioned illustrations, poetry, art, spoken word audio clips; Commissioned work rates are negotiated. </w:t>
      </w:r>
    </w:p>
    <w:p w:rsidR="00B9440D" w:rsidRDefault="00B9440D" w:rsidP="00B9440D">
      <w:pPr>
        <w:pStyle w:val="ListParagraph"/>
        <w:numPr>
          <w:ilvl w:val="0"/>
          <w:numId w:val="1"/>
        </w:numPr>
      </w:pPr>
      <w:r>
        <w:t>All contributors will receive a profile under our “Contributor” tab on our website.  The profile includes photo, web link field, brief description of who you are and your work.  We want to help promote your work, and we hope in turn, you will promote ours as well!</w:t>
      </w:r>
    </w:p>
    <w:p w:rsidR="00B9440D" w:rsidRDefault="00B9440D" w:rsidP="00B9440D">
      <w:pPr>
        <w:pStyle w:val="ListParagraph"/>
        <w:numPr>
          <w:ilvl w:val="0"/>
          <w:numId w:val="1"/>
        </w:numPr>
      </w:pPr>
      <w:r>
        <w:t>Contributors will also receive complimentary invitations to our IRL experiences including Salons and Field Trips.  Once a year, we will also hold a Contributor meet up, with yes, wine/beer/food so you can meet each other, as well as our readers, advisory board etc.  If you are looking for a cool feminist entrepreneur community to become a part of, we hope we can fulfill that need!</w:t>
      </w:r>
    </w:p>
    <w:p w:rsidR="00B9440D" w:rsidRDefault="00B9440D" w:rsidP="00005316"/>
    <w:p w:rsidR="00CA2AA2" w:rsidRDefault="00CA2AA2" w:rsidP="00005316">
      <w:pPr>
        <w:rPr>
          <w:b/>
        </w:rPr>
      </w:pPr>
      <w:r>
        <w:rPr>
          <w:b/>
        </w:rPr>
        <w:t>Rights</w:t>
      </w:r>
    </w:p>
    <w:p w:rsidR="00B9440D" w:rsidRDefault="00B9440D" w:rsidP="00005316">
      <w:r>
        <w:t>We believe in fair and equitable exchanges between creator and the magazine</w:t>
      </w:r>
      <w:r w:rsidR="00CA2AA2" w:rsidRPr="00CA2AA2">
        <w:t xml:space="preserve">.  </w:t>
      </w:r>
      <w:r>
        <w:t xml:space="preserve">We philosophically operate with a continuum in mind.  The more rights we ask for the more we pay, and vice versa.  For more details, please contact </w:t>
      </w:r>
      <w:hyperlink r:id="rId7" w:history="1">
        <w:r w:rsidR="00A46A9B" w:rsidRPr="00A46A9B">
          <w:rPr>
            <w:rStyle w:val="Hyperlink"/>
          </w:rPr>
          <w:t>mailto:publisher@liisbeth.com</w:t>
        </w:r>
      </w:hyperlink>
    </w:p>
    <w:p w:rsidR="00B9440D" w:rsidRDefault="00B9440D" w:rsidP="00005316"/>
    <w:p w:rsidR="002711FC" w:rsidRDefault="002711FC" w:rsidP="006F7BB0">
      <w:r>
        <w:t xml:space="preserve">Updated: </w:t>
      </w:r>
      <w:r w:rsidR="002E672A">
        <w:t>January 2016</w:t>
      </w:r>
    </w:p>
    <w:p w:rsidR="002711FC" w:rsidRDefault="002711FC" w:rsidP="006F7BB0"/>
    <w:p w:rsidR="002711FC" w:rsidRPr="002711FC" w:rsidRDefault="002711FC" w:rsidP="006F7BB0">
      <w:pPr>
        <w:rPr>
          <w:i/>
          <w:color w:val="2E74B5" w:themeColor="accent1" w:themeShade="BF"/>
          <w:sz w:val="18"/>
          <w:szCs w:val="18"/>
        </w:rPr>
      </w:pPr>
      <w:r w:rsidRPr="002711FC">
        <w:rPr>
          <w:i/>
          <w:color w:val="2E74B5" w:themeColor="accent1" w:themeShade="BF"/>
          <w:sz w:val="18"/>
          <w:szCs w:val="18"/>
        </w:rPr>
        <w:t>These are the 201</w:t>
      </w:r>
      <w:r w:rsidR="002E672A">
        <w:rPr>
          <w:i/>
          <w:color w:val="2E74B5" w:themeColor="accent1" w:themeShade="BF"/>
          <w:sz w:val="18"/>
          <w:szCs w:val="18"/>
        </w:rPr>
        <w:t>6</w:t>
      </w:r>
      <w:r w:rsidRPr="002711FC">
        <w:rPr>
          <w:i/>
          <w:color w:val="2E74B5" w:themeColor="accent1" w:themeShade="BF"/>
          <w:sz w:val="18"/>
          <w:szCs w:val="18"/>
        </w:rPr>
        <w:t xml:space="preserve"> rates. </w:t>
      </w:r>
    </w:p>
    <w:p w:rsidR="002711FC" w:rsidRPr="002711FC" w:rsidRDefault="002711FC" w:rsidP="006F7BB0">
      <w:pPr>
        <w:rPr>
          <w:i/>
          <w:color w:val="2E74B5" w:themeColor="accent1" w:themeShade="BF"/>
          <w:sz w:val="18"/>
          <w:szCs w:val="18"/>
        </w:rPr>
      </w:pPr>
      <w:r w:rsidRPr="002711FC">
        <w:rPr>
          <w:i/>
          <w:color w:val="2E74B5" w:themeColor="accent1" w:themeShade="BF"/>
          <w:sz w:val="18"/>
          <w:szCs w:val="18"/>
        </w:rPr>
        <w:t xml:space="preserve">Liisbeth reserves the right to change rates or contributor policies with no impact on work in progress, but which impact rates for any future work.  Current contributor guidelines will always be posted on our site. </w:t>
      </w:r>
    </w:p>
    <w:sectPr w:rsidR="002711FC" w:rsidRPr="002711FC" w:rsidSect="00CA45D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6BF4"/>
    <w:multiLevelType w:val="hybridMultilevel"/>
    <w:tmpl w:val="83C82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B04C53"/>
    <w:multiLevelType w:val="hybridMultilevel"/>
    <w:tmpl w:val="C7E66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643C1F"/>
    <w:multiLevelType w:val="hybridMultilevel"/>
    <w:tmpl w:val="6CE2A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783496"/>
    <w:multiLevelType w:val="hybridMultilevel"/>
    <w:tmpl w:val="4448E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16"/>
    <w:rsid w:val="00005316"/>
    <w:rsid w:val="000507BE"/>
    <w:rsid w:val="000E4677"/>
    <w:rsid w:val="001A7E5F"/>
    <w:rsid w:val="001F4A24"/>
    <w:rsid w:val="002711FC"/>
    <w:rsid w:val="00285230"/>
    <w:rsid w:val="002D4600"/>
    <w:rsid w:val="002E672A"/>
    <w:rsid w:val="00307479"/>
    <w:rsid w:val="003262AA"/>
    <w:rsid w:val="0034045A"/>
    <w:rsid w:val="003534C1"/>
    <w:rsid w:val="00363754"/>
    <w:rsid w:val="00462411"/>
    <w:rsid w:val="005038F2"/>
    <w:rsid w:val="00511549"/>
    <w:rsid w:val="00583C9D"/>
    <w:rsid w:val="005E0B8F"/>
    <w:rsid w:val="005F210B"/>
    <w:rsid w:val="00610A6D"/>
    <w:rsid w:val="00661393"/>
    <w:rsid w:val="006634AE"/>
    <w:rsid w:val="006829A2"/>
    <w:rsid w:val="006F7BB0"/>
    <w:rsid w:val="00713701"/>
    <w:rsid w:val="00732D41"/>
    <w:rsid w:val="00755AB6"/>
    <w:rsid w:val="00810F62"/>
    <w:rsid w:val="008121C8"/>
    <w:rsid w:val="008533E8"/>
    <w:rsid w:val="008618D2"/>
    <w:rsid w:val="008747F0"/>
    <w:rsid w:val="008D432A"/>
    <w:rsid w:val="00927FD1"/>
    <w:rsid w:val="009539B2"/>
    <w:rsid w:val="009706D7"/>
    <w:rsid w:val="009768C8"/>
    <w:rsid w:val="00985E20"/>
    <w:rsid w:val="00A32171"/>
    <w:rsid w:val="00A46A9B"/>
    <w:rsid w:val="00A67BCA"/>
    <w:rsid w:val="00A91EE5"/>
    <w:rsid w:val="00B36D92"/>
    <w:rsid w:val="00B9440D"/>
    <w:rsid w:val="00C5090C"/>
    <w:rsid w:val="00C90359"/>
    <w:rsid w:val="00C941DF"/>
    <w:rsid w:val="00CA2AA2"/>
    <w:rsid w:val="00CA45D8"/>
    <w:rsid w:val="00CE2F93"/>
    <w:rsid w:val="00D850D8"/>
    <w:rsid w:val="00DC7AD3"/>
    <w:rsid w:val="00DD612C"/>
    <w:rsid w:val="00ED7357"/>
    <w:rsid w:val="00F215DF"/>
    <w:rsid w:val="00F44794"/>
    <w:rsid w:val="00F71C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B4C46-F615-496A-9627-CAB0BDF2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BB0"/>
    <w:pPr>
      <w:ind w:left="720"/>
      <w:contextualSpacing/>
    </w:pPr>
  </w:style>
  <w:style w:type="character" w:styleId="Hyperlink">
    <w:name w:val="Hyperlink"/>
    <w:basedOn w:val="DefaultParagraphFont"/>
    <w:uiPriority w:val="99"/>
    <w:unhideWhenUsed/>
    <w:rsid w:val="00462411"/>
    <w:rPr>
      <w:color w:val="0563C1" w:themeColor="hyperlink"/>
      <w:u w:val="single"/>
    </w:rPr>
  </w:style>
  <w:style w:type="paragraph" w:styleId="BalloonText">
    <w:name w:val="Balloon Text"/>
    <w:basedOn w:val="Normal"/>
    <w:link w:val="BalloonTextChar"/>
    <w:uiPriority w:val="99"/>
    <w:semiHidden/>
    <w:unhideWhenUsed/>
    <w:rsid w:val="00C50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blisher@liisbe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sher@Liisbe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Kassun-Mutch</dc:creator>
  <cp:keywords/>
  <dc:description/>
  <cp:lastModifiedBy>Petra Kassun Mutch</cp:lastModifiedBy>
  <cp:revision>2</cp:revision>
  <cp:lastPrinted>2016-02-25T17:47:00Z</cp:lastPrinted>
  <dcterms:created xsi:type="dcterms:W3CDTF">2016-04-22T19:33:00Z</dcterms:created>
  <dcterms:modified xsi:type="dcterms:W3CDTF">2016-04-22T19:33:00Z</dcterms:modified>
</cp:coreProperties>
</file>